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2" w:rsidRPr="005D6BD6" w:rsidRDefault="00A966B2" w:rsidP="00A966B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454735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A966B2" w:rsidRPr="005D6BD6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.2017</w:t>
      </w:r>
      <w:r w:rsidR="00A966B2" w:rsidRPr="005D6BD6">
        <w:rPr>
          <w:sz w:val="28"/>
          <w:szCs w:val="28"/>
        </w:rPr>
        <w:t xml:space="preserve">          </w:t>
      </w:r>
      <w:r w:rsidR="00C248B7">
        <w:rPr>
          <w:sz w:val="28"/>
          <w:szCs w:val="28"/>
        </w:rPr>
        <w:t xml:space="preserve">                      </w:t>
      </w:r>
      <w:r w:rsidR="002B25CF">
        <w:rPr>
          <w:sz w:val="28"/>
          <w:szCs w:val="28"/>
        </w:rPr>
        <w:t xml:space="preserve"> </w:t>
      </w:r>
      <w:r w:rsidR="008F7107">
        <w:rPr>
          <w:sz w:val="28"/>
          <w:szCs w:val="28"/>
        </w:rPr>
        <w:t xml:space="preserve">   </w:t>
      </w:r>
      <w:r w:rsidR="002B25CF">
        <w:rPr>
          <w:sz w:val="28"/>
          <w:szCs w:val="28"/>
        </w:rPr>
        <w:t xml:space="preserve">   </w:t>
      </w:r>
      <w:r w:rsidR="005D74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8F7107">
        <w:rPr>
          <w:sz w:val="28"/>
          <w:szCs w:val="28"/>
        </w:rPr>
        <w:t xml:space="preserve">                         </w:t>
      </w:r>
      <w:r w:rsidR="00C248B7">
        <w:rPr>
          <w:sz w:val="28"/>
          <w:szCs w:val="28"/>
        </w:rPr>
        <w:t xml:space="preserve">   </w:t>
      </w:r>
      <w:r w:rsidR="00A966B2">
        <w:rPr>
          <w:sz w:val="28"/>
          <w:szCs w:val="28"/>
        </w:rPr>
        <w:t xml:space="preserve"> №</w:t>
      </w:r>
      <w:r w:rsidR="00E6594E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A966B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муниципальной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жилищных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  <w:r w:rsidR="005D7483">
        <w:rPr>
          <w:sz w:val="28"/>
          <w:szCs w:val="28"/>
        </w:rPr>
        <w:t>»</w:t>
      </w:r>
    </w:p>
    <w:p w:rsidR="004C5A58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8F7107" w:rsidRPr="00347317" w:rsidRDefault="008F7107" w:rsidP="00A966B2">
      <w:pPr>
        <w:pStyle w:val="a3"/>
        <w:jc w:val="both"/>
        <w:rPr>
          <w:sz w:val="28"/>
          <w:szCs w:val="28"/>
        </w:rPr>
      </w:pPr>
    </w:p>
    <w:p w:rsidR="00AA17C3" w:rsidRPr="00BF4303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  <w:r w:rsidR="000127D4" w:rsidRPr="00BF4303">
        <w:rPr>
          <w:sz w:val="28"/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Pr="00BF4303">
        <w:rPr>
          <w:sz w:val="28"/>
          <w:szCs w:val="28"/>
        </w:rPr>
        <w:t xml:space="preserve"> </w:t>
      </w:r>
      <w:r w:rsidR="000F65C6" w:rsidRPr="00BF4303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годах», </w:t>
      </w:r>
      <w:r w:rsidRPr="00BF4303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BF4303" w:rsidRDefault="00E1105A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BF4303">
        <w:rPr>
          <w:sz w:val="28"/>
          <w:szCs w:val="28"/>
        </w:rPr>
        <w:tab/>
        <w:t xml:space="preserve">1. </w:t>
      </w:r>
      <w:r w:rsidR="00973855" w:rsidRPr="00BF4303">
        <w:rPr>
          <w:sz w:val="28"/>
          <w:szCs w:val="28"/>
        </w:rPr>
        <w:t xml:space="preserve">Внести в </w:t>
      </w:r>
      <w:r w:rsidRPr="00BF4303">
        <w:rPr>
          <w:sz w:val="28"/>
          <w:szCs w:val="28"/>
        </w:rPr>
        <w:t>постановлени</w:t>
      </w:r>
      <w:r w:rsidR="004C5A58" w:rsidRPr="00BF4303">
        <w:rPr>
          <w:sz w:val="28"/>
          <w:szCs w:val="28"/>
        </w:rPr>
        <w:t>е</w:t>
      </w:r>
      <w:r w:rsidRPr="00BF4303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BF4303">
        <w:rPr>
          <w:sz w:val="28"/>
          <w:szCs w:val="28"/>
        </w:rPr>
        <w:t>9</w:t>
      </w:r>
      <w:r w:rsidRPr="00BF4303">
        <w:rPr>
          <w:sz w:val="28"/>
          <w:szCs w:val="28"/>
        </w:rPr>
        <w:t xml:space="preserve"> годы»</w:t>
      </w:r>
      <w:r w:rsidR="00973855" w:rsidRPr="00BF4303">
        <w:rPr>
          <w:sz w:val="28"/>
          <w:szCs w:val="28"/>
        </w:rPr>
        <w:t xml:space="preserve"> </w:t>
      </w:r>
      <w:r w:rsidR="00252E05" w:rsidRPr="00BF4303">
        <w:rPr>
          <w:sz w:val="28"/>
          <w:szCs w:val="28"/>
        </w:rPr>
        <w:t xml:space="preserve">(с изменениями </w:t>
      </w:r>
      <w:r w:rsidR="008F7107" w:rsidRPr="00BF4303">
        <w:rPr>
          <w:sz w:val="28"/>
          <w:szCs w:val="28"/>
        </w:rPr>
        <w:t xml:space="preserve">на </w:t>
      </w:r>
      <w:r w:rsidR="00654539" w:rsidRPr="00BF4303">
        <w:rPr>
          <w:sz w:val="28"/>
          <w:szCs w:val="28"/>
        </w:rPr>
        <w:t>31</w:t>
      </w:r>
      <w:r w:rsidR="008F7107" w:rsidRPr="00BF4303">
        <w:rPr>
          <w:sz w:val="28"/>
          <w:szCs w:val="28"/>
        </w:rPr>
        <w:t xml:space="preserve"> </w:t>
      </w:r>
      <w:r w:rsidR="00654539" w:rsidRPr="00BF4303">
        <w:rPr>
          <w:sz w:val="28"/>
          <w:szCs w:val="28"/>
        </w:rPr>
        <w:t>марта</w:t>
      </w:r>
      <w:r w:rsidR="008F7107" w:rsidRPr="00BF4303">
        <w:rPr>
          <w:sz w:val="28"/>
          <w:szCs w:val="28"/>
        </w:rPr>
        <w:t xml:space="preserve"> 2017 года </w:t>
      </w:r>
      <w:r w:rsidR="0055408F" w:rsidRPr="00BF4303">
        <w:rPr>
          <w:sz w:val="28"/>
          <w:szCs w:val="28"/>
        </w:rPr>
        <w:t xml:space="preserve">№ </w:t>
      </w:r>
      <w:r w:rsidR="00654539" w:rsidRPr="00BF4303">
        <w:rPr>
          <w:sz w:val="28"/>
          <w:szCs w:val="28"/>
        </w:rPr>
        <w:t>76</w:t>
      </w:r>
      <w:r w:rsidR="00835A67" w:rsidRPr="00BF4303">
        <w:rPr>
          <w:sz w:val="28"/>
          <w:szCs w:val="28"/>
        </w:rPr>
        <w:t xml:space="preserve">) </w:t>
      </w:r>
      <w:r w:rsidR="00252E05" w:rsidRPr="00BF4303">
        <w:rPr>
          <w:sz w:val="28"/>
          <w:szCs w:val="28"/>
        </w:rPr>
        <w:t>изменения</w:t>
      </w:r>
      <w:r w:rsidR="00754631" w:rsidRPr="00BF4303">
        <w:rPr>
          <w:sz w:val="28"/>
          <w:szCs w:val="28"/>
        </w:rPr>
        <w:t xml:space="preserve">, изложив </w:t>
      </w:r>
      <w:r w:rsidR="00754631" w:rsidRPr="00BF4303">
        <w:rPr>
          <w:color w:val="000000"/>
          <w:sz w:val="28"/>
          <w:szCs w:val="28"/>
        </w:rPr>
        <w:t>п</w:t>
      </w:r>
      <w:r w:rsidR="00252E05" w:rsidRPr="00BF4303">
        <w:rPr>
          <w:color w:val="000000"/>
          <w:sz w:val="28"/>
          <w:szCs w:val="28"/>
        </w:rPr>
        <w:t xml:space="preserve">риложение </w:t>
      </w:r>
      <w:r w:rsidR="008F7107" w:rsidRPr="00BF4303">
        <w:rPr>
          <w:color w:val="000000"/>
          <w:sz w:val="28"/>
          <w:szCs w:val="28"/>
        </w:rPr>
        <w:t xml:space="preserve">к постановлению </w:t>
      </w:r>
      <w:r w:rsidR="00252E05" w:rsidRPr="00BF4303">
        <w:rPr>
          <w:color w:val="000000"/>
          <w:sz w:val="28"/>
          <w:szCs w:val="28"/>
        </w:rPr>
        <w:t>в новой редакции</w:t>
      </w:r>
      <w:r w:rsidR="00E2760D" w:rsidRPr="00BF4303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A966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A966B2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lastRenderedPageBreak/>
        <w:t>муниципальной программы Ханты-Мансийского района</w:t>
      </w:r>
    </w:p>
    <w:p w:rsidR="00281CEE" w:rsidRPr="00281CEE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BF4303" w:rsidP="00DA6DC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финансам администрации района (сельские поселения)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26664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266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жилищного строительства» </w:t>
            </w:r>
          </w:p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940C2B" w:rsidRPr="00C268D5">
              <w:rPr>
                <w:sz w:val="28"/>
                <w:szCs w:val="28"/>
              </w:rPr>
              <w:t>5</w:t>
            </w:r>
            <w:r w:rsidR="001E772B" w:rsidRPr="00C268D5">
              <w:rPr>
                <w:sz w:val="28"/>
                <w:szCs w:val="28"/>
              </w:rPr>
              <w:t>8</w:t>
            </w:r>
            <w:r w:rsidR="00212C5B" w:rsidRPr="00C268D5">
              <w:rPr>
                <w:sz w:val="28"/>
                <w:szCs w:val="28"/>
              </w:rPr>
              <w:t>2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925985" w:rsidRPr="00C268D5">
              <w:rPr>
                <w:sz w:val="28"/>
                <w:szCs w:val="28"/>
              </w:rPr>
              <w:t>ы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 xml:space="preserve">23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lastRenderedPageBreak/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342126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с 0 </w:t>
            </w:r>
            <w:r w:rsidR="00E1105A" w:rsidRPr="00BF4303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7F5941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83E73">
              <w:rPr>
                <w:rStyle w:val="FontStyle28"/>
                <w:sz w:val="28"/>
                <w:szCs w:val="28"/>
              </w:rPr>
              <w:t>1 13</w:t>
            </w:r>
            <w:r w:rsidR="00006C25">
              <w:rPr>
                <w:rStyle w:val="FontStyle28"/>
                <w:sz w:val="28"/>
                <w:szCs w:val="28"/>
              </w:rPr>
              <w:t>5</w:t>
            </w:r>
            <w:r w:rsidR="007F5941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661</w:t>
            </w:r>
            <w:r w:rsidR="007F5941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1</w:t>
            </w:r>
            <w:r w:rsidR="007F5941" w:rsidRPr="00283E73">
              <w:rPr>
                <w:rStyle w:val="FontStyle28"/>
                <w:sz w:val="28"/>
                <w:szCs w:val="28"/>
              </w:rPr>
              <w:t xml:space="preserve"> </w:t>
            </w:r>
            <w:r w:rsidRPr="00283E73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83E73">
              <w:rPr>
                <w:rStyle w:val="FontStyle28"/>
                <w:sz w:val="28"/>
                <w:szCs w:val="28"/>
              </w:rPr>
              <w:t>2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FF6A38" w:rsidRPr="00283E73">
              <w:rPr>
                <w:rStyle w:val="FontStyle28"/>
                <w:sz w:val="28"/>
                <w:szCs w:val="28"/>
              </w:rPr>
              <w:t>156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2016 год </w:t>
            </w:r>
            <w:r w:rsidRPr="00283E73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83E73">
              <w:rPr>
                <w:rStyle w:val="FontStyle28"/>
                <w:sz w:val="28"/>
                <w:szCs w:val="28"/>
              </w:rPr>
              <w:t>2</w:t>
            </w:r>
            <w:r w:rsidR="00845897" w:rsidRPr="00283E73">
              <w:rPr>
                <w:rStyle w:val="FontStyle28"/>
                <w:sz w:val="28"/>
                <w:szCs w:val="28"/>
              </w:rPr>
              <w:t>7</w:t>
            </w:r>
            <w:r w:rsidR="007F5941" w:rsidRPr="00283E73">
              <w:rPr>
                <w:rStyle w:val="FontStyle28"/>
                <w:sz w:val="28"/>
                <w:szCs w:val="28"/>
              </w:rPr>
              <w:t>1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7F5941" w:rsidRPr="00283E73">
              <w:rPr>
                <w:rStyle w:val="FontStyle28"/>
                <w:sz w:val="28"/>
                <w:szCs w:val="28"/>
              </w:rPr>
              <w:t>339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7F5941" w:rsidRPr="00283E73">
              <w:rPr>
                <w:rStyle w:val="FontStyle28"/>
                <w:sz w:val="28"/>
                <w:szCs w:val="28"/>
              </w:rPr>
              <w:t>8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2017 год – </w:t>
            </w:r>
            <w:r w:rsidR="007F5941" w:rsidRPr="00283E73">
              <w:rPr>
                <w:rStyle w:val="FontStyle28"/>
                <w:sz w:val="28"/>
                <w:szCs w:val="28"/>
              </w:rPr>
              <w:t>2</w:t>
            </w:r>
            <w:r w:rsidR="00006C25">
              <w:rPr>
                <w:rStyle w:val="FontStyle28"/>
                <w:sz w:val="28"/>
                <w:szCs w:val="28"/>
              </w:rPr>
              <w:t>6</w:t>
            </w:r>
            <w:r w:rsidR="00F24777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91</w:t>
            </w:r>
            <w:r w:rsidR="00283E73" w:rsidRPr="006F22DC">
              <w:rPr>
                <w:rStyle w:val="FontStyle28"/>
                <w:sz w:val="28"/>
                <w:szCs w:val="28"/>
              </w:rPr>
              <w:t>8</w:t>
            </w:r>
            <w:r w:rsidR="00F24777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83E73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2018 год – 3</w:t>
            </w:r>
            <w:r w:rsidR="00242BC7" w:rsidRPr="00283E73">
              <w:rPr>
                <w:rStyle w:val="FontStyle28"/>
                <w:sz w:val="28"/>
                <w:szCs w:val="28"/>
              </w:rPr>
              <w:t>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058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6</w:t>
            </w:r>
            <w:r w:rsidR="00E868B1" w:rsidRPr="00283E73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83E73">
              <w:rPr>
                <w:rStyle w:val="FontStyle28"/>
                <w:sz w:val="28"/>
                <w:szCs w:val="28"/>
              </w:rPr>
              <w:t>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433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3</w:t>
            </w:r>
            <w:r w:rsidR="00D917B4" w:rsidRPr="00283E73">
              <w:rPr>
                <w:rStyle w:val="FontStyle28"/>
                <w:sz w:val="28"/>
                <w:szCs w:val="28"/>
              </w:rPr>
              <w:t xml:space="preserve"> тыс</w:t>
            </w:r>
            <w:r w:rsidR="00D917B4" w:rsidRPr="00440B07">
              <w:rPr>
                <w:rStyle w:val="FontStyle28"/>
                <w:sz w:val="28"/>
                <w:szCs w:val="28"/>
              </w:rPr>
              <w:t>. рублей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440B07" w:rsidRDefault="00E868B1" w:rsidP="00A966B2">
            <w:pPr>
              <w:pStyle w:val="a3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440B0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19</w:t>
            </w:r>
            <w:r w:rsidR="00440B07" w:rsidRPr="00440B07">
              <w:rPr>
                <w:rStyle w:val="FontStyle28"/>
                <w:sz w:val="28"/>
                <w:szCs w:val="28"/>
              </w:rPr>
              <w:t>0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9</w:t>
            </w:r>
            <w:r w:rsidR="00440B07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Pr="00440B07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440B07">
              <w:rPr>
                <w:rStyle w:val="FontStyle28"/>
                <w:sz w:val="28"/>
                <w:szCs w:val="28"/>
              </w:rPr>
              <w:t>75</w:t>
            </w:r>
            <w:r w:rsidR="00A402C4" w:rsidRPr="00440B07">
              <w:rPr>
                <w:rStyle w:val="FontStyle28"/>
                <w:sz w:val="28"/>
                <w:szCs w:val="28"/>
              </w:rPr>
              <w:t>9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16714D" w:rsidRPr="00440B07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>
              <w:rPr>
                <w:rStyle w:val="FontStyle28"/>
                <w:sz w:val="28"/>
                <w:szCs w:val="28"/>
              </w:rPr>
              <w:t>13</w:t>
            </w:r>
            <w:r w:rsidR="00440B07" w:rsidRPr="00440B07">
              <w:rPr>
                <w:rStyle w:val="FontStyle28"/>
                <w:sz w:val="28"/>
                <w:szCs w:val="28"/>
              </w:rPr>
              <w:t>6</w:t>
            </w:r>
            <w:r w:rsidR="00242BC7"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за </w:t>
            </w:r>
            <w:r w:rsidRPr="00283E73">
              <w:rPr>
                <w:rStyle w:val="FontStyle28"/>
                <w:sz w:val="28"/>
                <w:szCs w:val="28"/>
              </w:rPr>
              <w:t xml:space="preserve">счет средств бюджета автономного округа – </w:t>
            </w:r>
            <w:r w:rsidR="00627771" w:rsidRPr="00283E73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283E73">
              <w:rPr>
                <w:rStyle w:val="FontStyle28"/>
                <w:sz w:val="28"/>
                <w:szCs w:val="28"/>
              </w:rPr>
              <w:t>9</w:t>
            </w:r>
            <w:r w:rsidR="00924554" w:rsidRPr="00283E73">
              <w:rPr>
                <w:rStyle w:val="FontStyle28"/>
                <w:sz w:val="28"/>
                <w:szCs w:val="28"/>
              </w:rPr>
              <w:t>65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83E73" w:rsidRPr="00283E73">
              <w:rPr>
                <w:rStyle w:val="FontStyle28"/>
                <w:sz w:val="28"/>
                <w:szCs w:val="28"/>
              </w:rPr>
              <w:t>71</w:t>
            </w:r>
            <w:r w:rsidR="00FF6A38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рублей, в том</w:t>
            </w:r>
            <w:r w:rsidRPr="00924554">
              <w:rPr>
                <w:rStyle w:val="FontStyle28"/>
                <w:sz w:val="28"/>
                <w:szCs w:val="28"/>
              </w:rPr>
              <w:t xml:space="preserve"> числе: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1A758B">
              <w:rPr>
                <w:rStyle w:val="FontStyle28"/>
                <w:sz w:val="28"/>
                <w:szCs w:val="28"/>
              </w:rPr>
              <w:t>391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lastRenderedPageBreak/>
              <w:t xml:space="preserve">2016 год – </w:t>
            </w:r>
            <w:r w:rsidR="001A602C" w:rsidRPr="001A758B">
              <w:rPr>
                <w:rStyle w:val="FontStyle28"/>
                <w:sz w:val="28"/>
                <w:szCs w:val="28"/>
              </w:rPr>
              <w:t>2</w:t>
            </w:r>
            <w:r w:rsidR="00845897" w:rsidRPr="001A758B">
              <w:rPr>
                <w:rStyle w:val="FontStyle28"/>
                <w:sz w:val="28"/>
                <w:szCs w:val="28"/>
              </w:rPr>
              <w:t>4</w:t>
            </w:r>
            <w:r w:rsidR="00924554" w:rsidRPr="001A758B">
              <w:rPr>
                <w:rStyle w:val="FontStyle28"/>
                <w:sz w:val="28"/>
                <w:szCs w:val="28"/>
              </w:rPr>
              <w:t>0</w:t>
            </w:r>
            <w:r w:rsidR="00160CEB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1A758B">
              <w:rPr>
                <w:rStyle w:val="FontStyle28"/>
                <w:sz w:val="28"/>
                <w:szCs w:val="28"/>
              </w:rPr>
              <w:t>678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924554" w:rsidRPr="001A758B">
              <w:rPr>
                <w:rStyle w:val="FontStyle28"/>
                <w:sz w:val="28"/>
                <w:szCs w:val="28"/>
              </w:rPr>
              <w:t>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924554" w:rsidRPr="001A758B">
              <w:rPr>
                <w:rStyle w:val="FontStyle28"/>
                <w:sz w:val="28"/>
                <w:szCs w:val="28"/>
              </w:rPr>
              <w:t xml:space="preserve">23 </w:t>
            </w:r>
            <w:r w:rsidR="00283E73" w:rsidRPr="006F22DC">
              <w:rPr>
                <w:rStyle w:val="FontStyle28"/>
                <w:sz w:val="28"/>
                <w:szCs w:val="28"/>
              </w:rPr>
              <w:t>13</w:t>
            </w:r>
            <w:r w:rsidR="002841D2" w:rsidRPr="001A758B">
              <w:rPr>
                <w:rStyle w:val="FontStyle28"/>
                <w:sz w:val="28"/>
                <w:szCs w:val="28"/>
              </w:rPr>
              <w:t>4,4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29 902,3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A758B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20</w:t>
            </w:r>
            <w:r w:rsidR="002D142C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1A758B">
              <w:rPr>
                <w:rStyle w:val="FontStyle28"/>
                <w:sz w:val="28"/>
                <w:szCs w:val="28"/>
              </w:rPr>
              <w:t>445,7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1A758B">
              <w:rPr>
                <w:rStyle w:val="FontStyle28"/>
                <w:sz w:val="28"/>
                <w:szCs w:val="28"/>
              </w:rPr>
              <w:t>6</w:t>
            </w:r>
            <w:r w:rsidR="00283E73" w:rsidRPr="001A758B">
              <w:rPr>
                <w:rStyle w:val="FontStyle28"/>
                <w:sz w:val="28"/>
                <w:szCs w:val="28"/>
              </w:rPr>
              <w:t>4</w:t>
            </w:r>
            <w:r w:rsidR="000F1892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3E73" w:rsidRPr="001A758B">
              <w:rPr>
                <w:rStyle w:val="FontStyle28"/>
                <w:sz w:val="28"/>
                <w:szCs w:val="28"/>
              </w:rPr>
              <w:t>756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283E73" w:rsidRPr="001A758B">
              <w:rPr>
                <w:rStyle w:val="FontStyle28"/>
                <w:sz w:val="28"/>
                <w:szCs w:val="28"/>
              </w:rPr>
              <w:t>2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2015 год – 4</w:t>
            </w:r>
            <w:r w:rsidR="00FF6A38" w:rsidRPr="001A758B">
              <w:rPr>
                <w:rStyle w:val="FontStyle28"/>
                <w:sz w:val="28"/>
                <w:szCs w:val="28"/>
              </w:rPr>
              <w:t>0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FF6A38" w:rsidRPr="001A758B">
              <w:rPr>
                <w:rStyle w:val="FontStyle28"/>
                <w:sz w:val="28"/>
                <w:szCs w:val="28"/>
              </w:rPr>
              <w:t>508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5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1A758B">
              <w:rPr>
                <w:rStyle w:val="FontStyle28"/>
                <w:sz w:val="28"/>
                <w:szCs w:val="28"/>
              </w:rPr>
              <w:t>29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AF0640" w:rsidRPr="001A758B">
              <w:rPr>
                <w:rStyle w:val="FontStyle28"/>
                <w:sz w:val="28"/>
                <w:szCs w:val="28"/>
              </w:rPr>
              <w:t>901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845897" w:rsidRPr="001A758B">
              <w:rPr>
                <w:rStyle w:val="FontStyle28"/>
                <w:sz w:val="28"/>
                <w:szCs w:val="28"/>
              </w:rPr>
              <w:t>8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283E73" w:rsidRPr="006F22DC">
              <w:rPr>
                <w:rStyle w:val="FontStyle28"/>
                <w:sz w:val="28"/>
                <w:szCs w:val="28"/>
              </w:rPr>
              <w:t>3</w:t>
            </w:r>
            <w:r w:rsidR="000F1892" w:rsidRPr="001A758B">
              <w:rPr>
                <w:rStyle w:val="FontStyle28"/>
                <w:sz w:val="28"/>
                <w:szCs w:val="28"/>
              </w:rPr>
              <w:t> </w:t>
            </w:r>
            <w:r w:rsidR="00283E73" w:rsidRPr="006F22DC">
              <w:rPr>
                <w:rStyle w:val="FontStyle28"/>
                <w:sz w:val="28"/>
                <w:szCs w:val="28"/>
              </w:rPr>
              <w:t>647</w:t>
            </w:r>
            <w:r w:rsidR="000F1892" w:rsidRPr="001A758B">
              <w:rPr>
                <w:rStyle w:val="FontStyle28"/>
                <w:sz w:val="28"/>
                <w:szCs w:val="28"/>
              </w:rPr>
              <w:t>,</w:t>
            </w:r>
            <w:r w:rsidR="001A758B" w:rsidRPr="006F22DC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1A758B">
              <w:rPr>
                <w:rStyle w:val="FontStyle28"/>
                <w:sz w:val="28"/>
                <w:szCs w:val="28"/>
              </w:rPr>
              <w:t>3 637,0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1A758B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2 468,3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 xml:space="preserve">муниципальных образований, находящихся на территории района, по </w:t>
      </w:r>
      <w:r w:rsidRPr="001E1096">
        <w:rPr>
          <w:sz w:val="28"/>
          <w:szCs w:val="28"/>
        </w:rPr>
        <w:lastRenderedPageBreak/>
        <w:t>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8C3344" w:rsidRDefault="00C40A19" w:rsidP="00524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ы на создание и развитие жилищной инфраструктуры района, которая в свою очередь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524C24" w:rsidRPr="008C3344" w:rsidRDefault="00524C2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8C3344" w:rsidRPr="008C3344" w:rsidRDefault="00B61FCE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A966B2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A966B2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A966B2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A966B2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904976" w:rsidP="00A966B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904976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</w:t>
      </w:r>
      <w:r w:rsidRPr="00AE478B">
        <w:rPr>
          <w:sz w:val="28"/>
          <w:szCs w:val="28"/>
        </w:rPr>
        <w:lastRenderedPageBreak/>
        <w:t xml:space="preserve">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lastRenderedPageBreak/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</w:t>
      </w:r>
      <w:r w:rsidRPr="00742625">
        <w:rPr>
          <w:rFonts w:ascii="Times New Roman" w:hAnsi="Times New Roman"/>
          <w:sz w:val="28"/>
          <w:szCs w:val="28"/>
        </w:rPr>
        <w:lastRenderedPageBreak/>
        <w:t>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 xml:space="preserve">отдельных категорий граждан» с учетом очередности соответствующей категории граждан и в соответствии с постановлением Правительства Ханты-Мансийского автономного округа – Югры от 10 октября 2006 года № 237-п.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A966B2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В рамках подпрограммы 1 «Стимулирование жилищного строительства» предусмотрено решение задачи «Обеспечение жилыми </w:t>
      </w:r>
      <w:r w:rsidRPr="00281CEE">
        <w:rPr>
          <w:sz w:val="28"/>
          <w:szCs w:val="28"/>
        </w:rPr>
        <w:lastRenderedPageBreak/>
        <w:t>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A966B2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</w:t>
      </w:r>
      <w:r w:rsidRPr="00985BED">
        <w:rPr>
          <w:rFonts w:eastAsia="Calibri"/>
          <w:sz w:val="28"/>
          <w:szCs w:val="28"/>
        </w:rPr>
        <w:lastRenderedPageBreak/>
        <w:t xml:space="preserve">нуждающихся, а также на обеспечение работников бюджетной сферы служебным жильем. 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Югры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A966B2">
      <w:pPr>
        <w:rPr>
          <w:rFonts w:ascii="Times New Roman" w:hAnsi="Times New Roman"/>
        </w:rPr>
        <w:sectPr w:rsidR="00647FEA" w:rsidSect="008F7107">
          <w:headerReference w:type="default" r:id="rId12"/>
          <w:footerReference w:type="default" r:id="rId13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C6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C67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790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737" w:type="dxa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9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CA4B4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1 104 090,9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25 738,0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150 944,7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3 498,7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1 103 340,9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0C2F32">
        <w:trPr>
          <w:trHeight w:val="63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163ADC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63ADC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3ADC" w:rsidRPr="00A845D1" w:rsidRDefault="00163ADC" w:rsidP="009E616B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</w:p>
        </w:tc>
      </w:tr>
      <w:tr w:rsidR="00163ADC" w:rsidRPr="008F598E" w:rsidTr="00FF13E9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1 10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36F54" w:rsidRPr="00E94704" w:rsidRDefault="00AE4565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A36F54" w:rsidRPr="00E94704" w:rsidRDefault="00A36F5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A966B2">
            <w:pPr>
              <w:jc w:val="center"/>
              <w:rPr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55F37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755F37" w:rsidRPr="00E94704" w:rsidRDefault="00755F3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616304" w:rsidP="00EA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 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536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,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EA2194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BB350E"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EA219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522" w:rsidRPr="003C0F8D" w:rsidRDefault="009F352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A2194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A2194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494BDF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8 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4 719,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  <w:r w:rsidR="00494BDF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797635" w:rsidRPr="00E91696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616304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BB350E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субсидий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приобретение жилья или выплата выкупной стоимости за жилые помещения гражданам, переселяемым из с. Базьяны,               д. Сухоруко</w:t>
            </w:r>
            <w:r w:rsidR="00D77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имущест-венных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16304">
              <w:rPr>
                <w:rFonts w:ascii="Times New Roman" w:hAnsi="Times New Roman"/>
                <w:sz w:val="20"/>
                <w:szCs w:val="20"/>
              </w:rPr>
              <w:t>822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586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195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242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5C132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 w:rsidR="005C132D"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отдельным к</w:t>
            </w:r>
            <w:r w:rsidR="008F7107">
              <w:rPr>
                <w:rFonts w:ascii="Times New Roman" w:hAnsi="Times New Roman"/>
                <w:sz w:val="20"/>
                <w:szCs w:val="20"/>
              </w:rPr>
              <w:t>атегориям граждан, установленным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федеральными законами от 12 января 1995 года           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5-ФЗ «О ветеранах»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616304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415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122CAF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6F22DC" w:rsidP="006F22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122CAF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072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086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37FE" w:rsidRPr="0059294B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26D57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2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831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6D57" w:rsidRPr="0059294B" w:rsidRDefault="00626D5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D43185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37059A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6F22DC" w:rsidP="006F22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EF5FB4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283E73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283E73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941AEE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 w:rsidR="00FF6A38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283E73" w:rsidRDefault="007D4541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164 756,2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3 647,6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12 178,7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845,5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652,3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  <w:sectPr w:rsidR="004559E1" w:rsidRPr="00283E73" w:rsidSect="008F7107">
          <w:headerReference w:type="default" r:id="rId14"/>
          <w:footerReference w:type="default" r:id="rId15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80F" w:rsidRPr="00283E73" w:rsidRDefault="0054580F" w:rsidP="00283E73">
      <w:pPr>
        <w:pStyle w:val="a3"/>
        <w:ind w:right="54" w:firstLine="540"/>
        <w:contextualSpacing/>
        <w:jc w:val="right"/>
        <w:rPr>
          <w:sz w:val="28"/>
          <w:szCs w:val="28"/>
        </w:rPr>
      </w:pPr>
      <w:r w:rsidRPr="00283E73">
        <w:rPr>
          <w:sz w:val="28"/>
          <w:szCs w:val="28"/>
        </w:rPr>
        <w:t>».</w:t>
      </w:r>
    </w:p>
    <w:p w:rsidR="0054580F" w:rsidRPr="00283E73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ab/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580F" w:rsidRPr="00347317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5E8B" w:rsidRPr="00283E73" w:rsidRDefault="0054580F" w:rsidP="00283E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</w:r>
      <w:r w:rsidR="00283E73" w:rsidRPr="00283E73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</w:t>
      </w:r>
      <w:r w:rsidR="00283E73" w:rsidRPr="00283E73">
        <w:rPr>
          <w:rFonts w:ascii="Times New Roman" w:hAnsi="Times New Roman"/>
          <w:sz w:val="28"/>
          <w:szCs w:val="28"/>
        </w:rPr>
        <w:t xml:space="preserve">  </w:t>
      </w: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  <w:sectPr w:rsidR="00885E8B" w:rsidSect="00494FE7">
          <w:footerReference w:type="default" r:id="rId16"/>
          <w:footnotePr>
            <w:pos w:val="beneathText"/>
          </w:footnotePr>
          <w:pgSz w:w="11905" w:h="16837"/>
          <w:pgMar w:top="851" w:right="851" w:bottom="851" w:left="1077" w:header="720" w:footer="720" w:gutter="0"/>
          <w:cols w:space="720"/>
          <w:docGrid w:linePitch="360"/>
        </w:sectPr>
      </w:pPr>
    </w:p>
    <w:p w:rsidR="00885E8B" w:rsidRPr="00ED29CB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C0BCB" w:rsidRDefault="007C0BCB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</w:pPr>
    </w:p>
    <w:p w:rsidR="007C0BCB" w:rsidRDefault="007C0BCB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</w:pPr>
    </w:p>
    <w:p w:rsidR="0054580F" w:rsidRDefault="0054580F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  <w:sectPr w:rsidR="0054580F" w:rsidSect="00ED29CB"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4559E1" w:rsidRDefault="004559E1" w:rsidP="00E2760D">
      <w:pPr>
        <w:pStyle w:val="a3"/>
        <w:jc w:val="both"/>
        <w:rPr>
          <w:sz w:val="28"/>
          <w:szCs w:val="28"/>
        </w:rPr>
        <w:sectPr w:rsidR="004559E1" w:rsidSect="0054580F">
          <w:pgSz w:w="11905" w:h="16838" w:code="9"/>
          <w:pgMar w:top="1276" w:right="1134" w:bottom="1559" w:left="1418" w:header="720" w:footer="431" w:gutter="0"/>
          <w:cols w:space="720"/>
          <w:docGrid w:linePitch="299"/>
        </w:sectPr>
      </w:pPr>
    </w:p>
    <w:p w:rsidR="00E2760D" w:rsidRDefault="00E2760D" w:rsidP="00E2760D">
      <w:pPr>
        <w:pStyle w:val="a3"/>
        <w:jc w:val="both"/>
        <w:rPr>
          <w:sz w:val="28"/>
          <w:szCs w:val="28"/>
        </w:rPr>
      </w:pPr>
    </w:p>
    <w:p w:rsidR="00E2760D" w:rsidRPr="00281CEE" w:rsidRDefault="00E2760D" w:rsidP="00A966B2">
      <w:pPr>
        <w:pStyle w:val="a3"/>
        <w:jc w:val="right"/>
        <w:rPr>
          <w:sz w:val="28"/>
          <w:szCs w:val="28"/>
        </w:rPr>
      </w:pPr>
    </w:p>
    <w:sectPr w:rsidR="00E2760D" w:rsidRPr="00281CEE" w:rsidSect="008F7107"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08" w:rsidRDefault="00783E08" w:rsidP="00B7030D">
      <w:r>
        <w:separator/>
      </w:r>
    </w:p>
  </w:endnote>
  <w:endnote w:type="continuationSeparator" w:id="0">
    <w:p w:rsidR="00783E08" w:rsidRDefault="00783E08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6F22DC" w:rsidP="00667DAB">
    <w:pPr>
      <w:pStyle w:val="aa"/>
    </w:pPr>
  </w:p>
  <w:p w:rsidR="006F22DC" w:rsidRDefault="006F22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Pr="00BF5D16" w:rsidRDefault="006F22DC" w:rsidP="00BF5D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904976">
    <w:pPr>
      <w:pStyle w:val="aa"/>
      <w:jc w:val="right"/>
    </w:pPr>
    <w:fldSimple w:instr=" PAGE   \* MERGEFORMAT ">
      <w:r w:rsidR="00C268D5">
        <w:rPr>
          <w:noProof/>
        </w:rPr>
        <w:t>24</w:t>
      </w:r>
    </w:fldSimple>
  </w:p>
  <w:p w:rsidR="006F22DC" w:rsidRDefault="006F22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08" w:rsidRDefault="00783E08" w:rsidP="00B7030D">
      <w:r>
        <w:separator/>
      </w:r>
    </w:p>
  </w:footnote>
  <w:footnote w:type="continuationSeparator" w:id="0">
    <w:p w:rsidR="00783E08" w:rsidRDefault="00783E08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22DC" w:rsidRPr="00CC0CB2" w:rsidRDefault="0090497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6F22DC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783E08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F22DC" w:rsidRDefault="006F22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904976">
    <w:pPr>
      <w:pStyle w:val="a8"/>
      <w:jc w:val="center"/>
    </w:pPr>
    <w:fldSimple w:instr="PAGE   \* MERGEFORMAT">
      <w:r w:rsidR="00FF05E0">
        <w:rPr>
          <w:noProof/>
        </w:rPr>
        <w:t>23</w:t>
      </w:r>
    </w:fldSimple>
  </w:p>
  <w:p w:rsidR="006F22DC" w:rsidRDefault="006F22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396F"/>
    <w:rsid w:val="000059A3"/>
    <w:rsid w:val="00006C25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43E8"/>
    <w:rsid w:val="00083B6A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4045"/>
    <w:rsid w:val="003377A4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28EF"/>
    <w:rsid w:val="00414277"/>
    <w:rsid w:val="004156E3"/>
    <w:rsid w:val="00416937"/>
    <w:rsid w:val="00421494"/>
    <w:rsid w:val="004228E8"/>
    <w:rsid w:val="00422A7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BDF"/>
    <w:rsid w:val="00494FE7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A7E"/>
    <w:rsid w:val="00537FA7"/>
    <w:rsid w:val="00540BD7"/>
    <w:rsid w:val="0054246C"/>
    <w:rsid w:val="0054569E"/>
    <w:rsid w:val="0054580F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7483"/>
    <w:rsid w:val="005E1601"/>
    <w:rsid w:val="005E34A5"/>
    <w:rsid w:val="005E64DC"/>
    <w:rsid w:val="005F3B2A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59C8"/>
    <w:rsid w:val="00677AF2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B0792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22AB5"/>
    <w:rsid w:val="00822BA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201CD"/>
    <w:rsid w:val="00922F47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F52"/>
    <w:rsid w:val="009444DC"/>
    <w:rsid w:val="00953F29"/>
    <w:rsid w:val="00954F02"/>
    <w:rsid w:val="009564F8"/>
    <w:rsid w:val="009607B3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5489"/>
    <w:rsid w:val="009954CE"/>
    <w:rsid w:val="00997270"/>
    <w:rsid w:val="009A0B18"/>
    <w:rsid w:val="009A1034"/>
    <w:rsid w:val="009A28D4"/>
    <w:rsid w:val="009A3538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922D3"/>
    <w:rsid w:val="00A936F7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1866"/>
    <w:rsid w:val="00AE27B4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6074"/>
    <w:rsid w:val="00B5174B"/>
    <w:rsid w:val="00B563B3"/>
    <w:rsid w:val="00B56B29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660F"/>
    <w:rsid w:val="00BF0673"/>
    <w:rsid w:val="00BF2BF1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3DAB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505CC"/>
    <w:rsid w:val="00D519A1"/>
    <w:rsid w:val="00D52A4C"/>
    <w:rsid w:val="00D560F2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6218D"/>
    <w:rsid w:val="00E62A02"/>
    <w:rsid w:val="00E638CD"/>
    <w:rsid w:val="00E6594E"/>
    <w:rsid w:val="00E66B95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3D3"/>
    <w:rsid w:val="00EE283C"/>
    <w:rsid w:val="00EE32A5"/>
    <w:rsid w:val="00EE3C2C"/>
    <w:rsid w:val="00EE3F5C"/>
    <w:rsid w:val="00EE4BD2"/>
    <w:rsid w:val="00EE77C3"/>
    <w:rsid w:val="00EF465E"/>
    <w:rsid w:val="00EF467C"/>
    <w:rsid w:val="00EF4CCA"/>
    <w:rsid w:val="00EF5FB4"/>
    <w:rsid w:val="00EF7BD2"/>
    <w:rsid w:val="00EF7CC3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8E13-6B7F-4B3C-9B92-C298F80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2</cp:revision>
  <cp:lastPrinted>2017-06-28T10:16:00Z</cp:lastPrinted>
  <dcterms:created xsi:type="dcterms:W3CDTF">2017-06-28T10:17:00Z</dcterms:created>
  <dcterms:modified xsi:type="dcterms:W3CDTF">2017-06-28T10:17:00Z</dcterms:modified>
</cp:coreProperties>
</file>